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7E" w:rsidRDefault="00283960" w:rsidP="003F457E">
      <w:pPr>
        <w:tabs>
          <w:tab w:val="left" w:pos="5331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98.2pt;margin-top:-17.85pt;width:251.4pt;height:484.65pt;z-index:251660288" strokecolor="#0070c0" strokeweight="4.5pt">
            <v:stroke linestyle="thickThin"/>
            <v:textbox style="mso-next-textbox:#_x0000_s1030">
              <w:txbxContent>
                <w:p w:rsidR="003F457E" w:rsidRDefault="003F457E" w:rsidP="003F457E">
                  <w:pPr>
                    <w:rPr>
                      <w:lang w:bidi="ar-DZ"/>
                    </w:rPr>
                  </w:pPr>
                </w:p>
                <w:p w:rsidR="00283960" w:rsidRPr="00283960" w:rsidRDefault="00E92A0B" w:rsidP="00283960">
                  <w:pPr>
                    <w:bidi/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FF"/>
                      <w:sz w:val="36"/>
                      <w:szCs w:val="36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FF"/>
                      <w:sz w:val="36"/>
                      <w:szCs w:val="36"/>
                      <w:rtl/>
                      <w:lang w:eastAsia="fr-FR"/>
                    </w:rPr>
                    <w:t>الإشكالية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FF"/>
                      <w:sz w:val="36"/>
                      <w:szCs w:val="36"/>
                      <w:rtl/>
                      <w:lang w:eastAsia="fr-FR"/>
                    </w:rPr>
                    <w:t xml:space="preserve"> العامة التي انطلقنا منها والتي تحدد ساحة البحث والنقاش هي كالتالي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lang w:eastAsia="fr-FR"/>
                    </w:rPr>
                    <w:t>:</w:t>
                  </w:r>
                </w:p>
                <w:p w:rsidR="005552A6" w:rsidRPr="00283960" w:rsidRDefault="00283960" w:rsidP="00283960">
                  <w:pPr>
                    <w:bidi/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إلى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 أي مدى يتم التعامل بالوثائق ال</w:t>
                  </w:r>
                  <w:r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إ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دارية الخاصة بالمعاملات التجارية والمنصوص عليها في التشريع الجزائري 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؟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.</w:t>
                  </w:r>
                </w:p>
                <w:p w:rsidR="00283960" w:rsidRPr="00283960" w:rsidRDefault="005552A6" w:rsidP="00283960">
                  <w:pPr>
                    <w:bidi/>
                    <w:spacing w:after="0"/>
                    <w:rPr>
                      <w:rFonts w:ascii="Traditional Arabic" w:eastAsia="Times New Roman" w:hAnsi="Traditional Arabic" w:cs="Traditional Arabic" w:hint="cs"/>
                      <w:color w:val="0066FF"/>
                      <w:sz w:val="36"/>
                      <w:szCs w:val="36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/>
                      <w:b/>
                      <w:bCs/>
                      <w:color w:val="0066FF"/>
                      <w:sz w:val="36"/>
                      <w:szCs w:val="36"/>
                      <w:rtl/>
                      <w:lang w:eastAsia="fr-FR"/>
                    </w:rPr>
                    <w:t>أهداف البحث</w:t>
                  </w:r>
                  <w:r w:rsidRPr="00283960">
                    <w:rPr>
                      <w:rFonts w:ascii="Traditional Arabic" w:eastAsia="Times New Roman" w:hAnsi="Traditional Arabic" w:cs="Traditional Arabic"/>
                      <w:b/>
                      <w:bCs/>
                      <w:color w:val="0066FF"/>
                      <w:sz w:val="36"/>
                      <w:szCs w:val="36"/>
                      <w:lang w:eastAsia="fr-FR"/>
                    </w:rPr>
                    <w:t>: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color w:val="0066FF"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</w:p>
                <w:p w:rsidR="005552A6" w:rsidRPr="00283960" w:rsidRDefault="005552A6" w:rsidP="00283960">
                  <w:pPr>
                    <w:bidi/>
                    <w:spacing w:after="0"/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بيان مفهوم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شفافية الممارسات التجارية من خلال التطرق إلى الوثائق الإدارية الخاصة بالمعاملات التجارية ،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وصورها مع العقوبات المقرر لها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في حالة عدم التعامل بها أو الإخلال بمضمونها.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32.4pt;margin-top:-17.85pt;width:249.7pt;height:484.65pt;z-index:251659264" strokecolor="#0070c0" strokeweight="4.5pt">
            <v:stroke linestyle="thickThin"/>
            <v:textbox>
              <w:txbxContent>
                <w:p w:rsidR="003F457E" w:rsidRDefault="003F457E" w:rsidP="003F457E">
                  <w:pPr>
                    <w:rPr>
                      <w:rtl/>
                      <w:lang w:bidi="ar-DZ"/>
                    </w:rPr>
                  </w:pPr>
                </w:p>
                <w:p w:rsidR="00283960" w:rsidRDefault="00283960" w:rsidP="005552A6">
                  <w:pPr>
                    <w:bidi/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  <w:lang w:eastAsia="fr-FR"/>
                    </w:rPr>
                    <w:t>أهمية البحث</w:t>
                  </w:r>
                  <w:r w:rsidRPr="00283960">
                    <w:rPr>
                      <w:rFonts w:ascii="Traditional Arabic" w:eastAsia="Times New Roman" w:hAnsi="Traditional Arabic" w:cs="Traditional Arabic"/>
                      <w:b/>
                      <w:bCs/>
                      <w:color w:val="365F91" w:themeColor="accent1" w:themeShade="BF"/>
                      <w:sz w:val="32"/>
                      <w:szCs w:val="32"/>
                      <w:lang w:eastAsia="fr-FR"/>
                    </w:rPr>
                    <w:t>: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 xml:space="preserve"> 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>تتمثل هذه الدراسة من الناحية العملية من خلال سعيها إلى تقديم العون للعملاء و الزبائن و المستهلك أيضا من الإضرار الناجمة ع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 w:bidi="ar-DZ"/>
                    </w:rPr>
                    <w:t>ن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>هذه الممارسات</w:t>
                  </w:r>
                </w:p>
                <w:p w:rsidR="00283960" w:rsidRDefault="002B77D6" w:rsidP="00283960">
                  <w:pPr>
                    <w:bidi/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 xml:space="preserve">غير 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>المشروعة كما تسعى إلى تكوين أسس و مبادئ للوقاية منها و الحد منها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lang w:eastAsia="fr-FR"/>
                    </w:rPr>
                    <w:t>.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 xml:space="preserve">كما تتمثل 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>أهمية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 xml:space="preserve"> البحث من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 xml:space="preserve"> الجانب التطبيقي في كونه ثمرة للدراسة النظرية  وبيان مدى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>الاهتمام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 xml:space="preserve"> بالأحكام الشرعية لذلك انته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>ز</w:t>
                  </w:r>
                  <w:r w:rsidR="005552A6" w:rsidRPr="00283960"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rtl/>
                      <w:lang w:eastAsia="fr-FR"/>
                    </w:rPr>
                    <w:t>نا الفرصة لن</w:t>
                  </w:r>
                  <w:r w:rsidR="005552A6"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>حدد الضوابط الخاصة بوثائق المعاملات التجارية ونخص بالذكر :</w:t>
                  </w:r>
                </w:p>
                <w:p w:rsidR="005552A6" w:rsidRPr="00283960" w:rsidRDefault="005552A6" w:rsidP="00283960">
                  <w:pPr>
                    <w:bidi/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>الفاتورة،</w:t>
                  </w:r>
                  <w:r w:rsid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 xml:space="preserve">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  <w:lang w:eastAsia="fr-FR"/>
                    </w:rPr>
                    <w:t>وصل التسليم،سند المعاملات التجارية، سند التحويل.</w:t>
                  </w:r>
                </w:p>
                <w:p w:rsidR="005552A6" w:rsidRPr="00283960" w:rsidRDefault="005552A6" w:rsidP="005552A6">
                  <w:pPr>
                    <w:bidi/>
                    <w:rPr>
                      <w:rFonts w:ascii="Traditional Arabic" w:eastAsia="Times New Roman" w:hAnsi="Traditional Arabic" w:cs="Traditional Arabic"/>
                      <w:b/>
                      <w:bCs/>
                      <w:color w:val="0066FF"/>
                      <w:sz w:val="36"/>
                      <w:szCs w:val="36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66FF"/>
                      <w:sz w:val="36"/>
                      <w:szCs w:val="36"/>
                      <w:rtl/>
                      <w:lang w:eastAsia="fr-FR"/>
                    </w:rPr>
                    <w:t>محاور اليوم الدراسي:</w:t>
                  </w:r>
                </w:p>
                <w:p w:rsidR="005552A6" w:rsidRPr="005552A6" w:rsidRDefault="005552A6" w:rsidP="005552A6">
                  <w:pPr>
                    <w:bidi/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lang w:eastAsia="fr-FR"/>
                    </w:rPr>
                  </w:pPr>
                </w:p>
              </w:txbxContent>
            </v:textbox>
          </v:shape>
        </w:pict>
      </w:r>
      <w:r w:rsidR="00BF4BAF">
        <w:rPr>
          <w:noProof/>
          <w:lang w:eastAsia="fr-FR"/>
        </w:rPr>
        <w:pict>
          <v:shape id="_x0000_s1026" type="#_x0000_t202" style="position:absolute;margin-left:-41.8pt;margin-top:-17.85pt;width:250.45pt;height:484.65pt;z-index:251658240" strokecolor="#0070c0" strokeweight="4.5pt">
            <v:stroke linestyle="thickThin"/>
            <v:textbox>
              <w:txbxContent>
                <w:p w:rsidR="00BF4BAF" w:rsidRPr="00BF4BAF" w:rsidRDefault="00BF4BAF" w:rsidP="005552A6">
                  <w:pPr>
                    <w:bidi/>
                    <w:jc w:val="center"/>
                    <w:rPr>
                      <w:b/>
                      <w:bCs/>
                      <w:sz w:val="16"/>
                      <w:szCs w:val="16"/>
                      <w:lang w:bidi="ar-DZ"/>
                    </w:rPr>
                  </w:pPr>
                </w:p>
                <w:p w:rsidR="003F457E" w:rsidRPr="00BF4BAF" w:rsidRDefault="003F457E" w:rsidP="00BF4BAF">
                  <w:pPr>
                    <w:bidi/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DZ"/>
                    </w:rPr>
                    <w:t>الجمهورية الجزائرية  الديمقراطية الشعبية</w:t>
                  </w:r>
                </w:p>
                <w:p w:rsidR="003F457E" w:rsidRPr="00BF4BAF" w:rsidRDefault="003F457E" w:rsidP="003F457E">
                  <w:pPr>
                    <w:bidi/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DZ"/>
                    </w:rPr>
                    <w:t>وزارة التجارة</w:t>
                  </w:r>
                </w:p>
                <w:p w:rsidR="003F457E" w:rsidRPr="00BF4BAF" w:rsidRDefault="003F457E" w:rsidP="003F457E">
                  <w:pPr>
                    <w:bidi/>
                    <w:spacing w:line="240" w:lineRule="auto"/>
                    <w:jc w:val="center"/>
                    <w:rPr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  <w:t>مديرية التجارة لولاية</w:t>
                  </w:r>
                </w:p>
                <w:p w:rsidR="003F457E" w:rsidRPr="00BF4BAF" w:rsidRDefault="003F457E" w:rsidP="003F457E">
                  <w:pPr>
                    <w:bidi/>
                    <w:spacing w:line="240" w:lineRule="auto"/>
                    <w:jc w:val="center"/>
                    <w:rPr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  <w:t>عين تموشنت</w:t>
                  </w:r>
                </w:p>
                <w:p w:rsidR="003F457E" w:rsidRDefault="003F457E" w:rsidP="003F457E">
                  <w:pPr>
                    <w:bidi/>
                    <w:spacing w:line="240" w:lineRule="auto"/>
                    <w:jc w:val="center"/>
                    <w:rPr>
                      <w:rFonts w:hint="cs"/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  <w:t xml:space="preserve">مصلحة الممارسات التجارية </w:t>
                  </w:r>
                </w:p>
                <w:p w:rsidR="00A34CD3" w:rsidRPr="00BF4BAF" w:rsidRDefault="00A34CD3" w:rsidP="00A34CD3">
                  <w:pPr>
                    <w:bidi/>
                    <w:spacing w:line="240" w:lineRule="auto"/>
                    <w:jc w:val="center"/>
                    <w:rPr>
                      <w:b/>
                      <w:bCs/>
                      <w:color w:val="0066FF"/>
                      <w:sz w:val="36"/>
                      <w:szCs w:val="36"/>
                      <w:rtl/>
                      <w:lang w:bidi="ar-DZ"/>
                    </w:rPr>
                  </w:pPr>
                </w:p>
                <w:p w:rsidR="003F457E" w:rsidRPr="00BF4BAF" w:rsidRDefault="003F457E" w:rsidP="00BF4BAF">
                  <w:pPr>
                    <w:bidi/>
                    <w:spacing w:line="240" w:lineRule="auto"/>
                    <w:jc w:val="center"/>
                    <w:rPr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  <w:t xml:space="preserve">يوم دراســــــي </w:t>
                  </w:r>
                </w:p>
                <w:p w:rsidR="003F457E" w:rsidRDefault="003F457E" w:rsidP="00A34CD3">
                  <w:pPr>
                    <w:bidi/>
                    <w:spacing w:line="240" w:lineRule="auto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  <w:t>حـــــــول</w:t>
                  </w:r>
                </w:p>
                <w:p w:rsidR="00BF4BAF" w:rsidRDefault="00BF4BAF" w:rsidP="00BF4BAF">
                  <w:pPr>
                    <w:bidi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BF4BAF" w:rsidRDefault="00BF4BAF" w:rsidP="00BF4BAF">
                  <w:pPr>
                    <w:bidi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BF4BAF" w:rsidRDefault="00BF4BAF" w:rsidP="00BF4BAF">
                  <w:pPr>
                    <w:bidi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BF4BAF" w:rsidRDefault="00BF4BAF" w:rsidP="00BF4BAF">
                  <w:pPr>
                    <w:bidi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BF4BAF" w:rsidRDefault="00BF4BAF" w:rsidP="00BF4BA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  <w:p w:rsidR="003F457E" w:rsidRPr="00BF4BAF" w:rsidRDefault="003F457E" w:rsidP="00BF4B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BF4BA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</w:t>
                  </w:r>
                  <w:r w:rsidR="00BF4BAF" w:rsidRPr="00BF4BA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ـ</w:t>
                  </w:r>
                  <w:r w:rsidRPr="00BF4BA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</w:t>
                  </w:r>
                  <w:r w:rsidR="00BF4BAF" w:rsidRPr="00BF4BA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ي</w:t>
                  </w:r>
                  <w:r w:rsidRPr="00BF4BA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2016</w:t>
                  </w:r>
                </w:p>
                <w:p w:rsidR="003F457E" w:rsidRDefault="003F457E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3F457E">
        <w:tab/>
      </w: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A34CD3" w:rsidP="003F457E">
      <w:pPr>
        <w:tabs>
          <w:tab w:val="left" w:pos="10279"/>
        </w:tabs>
      </w:pPr>
      <w:r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21" style="position:absolute;margin-left:-.45pt;margin-top:13.25pt;width:180pt;height:78.1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F4BAF" w:rsidRPr="00BF4BAF" w:rsidRDefault="00BF4BAF" w:rsidP="00BF4BAF">
                  <w:pPr>
                    <w:bidi/>
                    <w:spacing w:line="240" w:lineRule="auto"/>
                    <w:jc w:val="center"/>
                    <w:rPr>
                      <w:rFonts w:cs="Arial" w:hint="cs"/>
                      <w:b/>
                      <w:bCs/>
                      <w:noProof/>
                      <w:color w:val="FF0066"/>
                      <w:sz w:val="40"/>
                      <w:szCs w:val="40"/>
                      <w:rtl/>
                      <w:lang w:eastAsia="fr-FR" w:bidi="ar-DZ"/>
                    </w:rPr>
                  </w:pPr>
                  <w:r w:rsidRPr="00BF4BAF">
                    <w:rPr>
                      <w:rFonts w:cs="Arial" w:hint="cs"/>
                      <w:b/>
                      <w:bCs/>
                      <w:noProof/>
                      <w:color w:val="FF0066"/>
                      <w:sz w:val="40"/>
                      <w:szCs w:val="40"/>
                      <w:rtl/>
                      <w:lang w:eastAsia="fr-FR" w:bidi="ar-DZ"/>
                    </w:rPr>
                    <w:t>إشكالية عدم الفوترة</w:t>
                  </w:r>
                </w:p>
                <w:p w:rsidR="00BF4BAF" w:rsidRPr="00BF4BAF" w:rsidRDefault="00BF4BAF" w:rsidP="00BF4BAF">
                  <w:pPr>
                    <w:bidi/>
                    <w:spacing w:line="240" w:lineRule="auto"/>
                    <w:jc w:val="center"/>
                    <w:rPr>
                      <w:rFonts w:hint="cs"/>
                      <w:b/>
                      <w:bCs/>
                      <w:color w:val="FF0066"/>
                      <w:sz w:val="44"/>
                      <w:szCs w:val="44"/>
                      <w:rtl/>
                      <w:lang w:bidi="ar-DZ"/>
                    </w:rPr>
                  </w:pPr>
                  <w:r w:rsidRPr="00BF4BAF">
                    <w:rPr>
                      <w:rFonts w:cs="Arial" w:hint="cs"/>
                      <w:b/>
                      <w:bCs/>
                      <w:noProof/>
                      <w:color w:val="FF0066"/>
                      <w:sz w:val="40"/>
                      <w:szCs w:val="40"/>
                      <w:rtl/>
                      <w:lang w:eastAsia="fr-FR" w:bidi="ar-DZ"/>
                    </w:rPr>
                    <w:t xml:space="preserve"> في الجزائر</w:t>
                  </w:r>
                </w:p>
                <w:p w:rsidR="00BF4BAF" w:rsidRPr="003F457E" w:rsidRDefault="00BF4BAF" w:rsidP="00BF4BAF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BF4BAF" w:rsidRDefault="00BF4BAF"/>
              </w:txbxContent>
            </v:textbox>
          </v:shape>
        </w:pict>
      </w: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A34CD3" w:rsidP="003F457E">
      <w:pPr>
        <w:tabs>
          <w:tab w:val="left" w:pos="10279"/>
        </w:tabs>
      </w:pPr>
      <w:r>
        <w:rPr>
          <w:noProof/>
          <w:lang w:eastAsia="fr-FR"/>
        </w:rPr>
        <w:lastRenderedPageBreak/>
        <w:pict>
          <v:shape id="_x0000_s1031" type="#_x0000_t202" style="position:absolute;margin-left:233.3pt;margin-top:-16.7pt;width:253.45pt;height:485.8pt;z-index:251661312" strokecolor="#0070c0" strokeweight="4.5pt">
            <v:stroke linestyle="thickThin"/>
            <v:textbox>
              <w:txbxContent>
                <w:p w:rsidR="00283960" w:rsidRPr="00283960" w:rsidRDefault="00283960" w:rsidP="005552A6">
                  <w:pPr>
                    <w:bidi/>
                    <w:rPr>
                      <w:rFonts w:ascii="Traditional Arabic" w:eastAsia="Times New Roman" w:hAnsi="Traditional Arabic" w:cs="Traditional Arabic" w:hint="cs"/>
                      <w:sz w:val="20"/>
                      <w:szCs w:val="20"/>
                      <w:rtl/>
                      <w:lang w:eastAsia="fr-FR"/>
                    </w:rPr>
                  </w:pPr>
                </w:p>
                <w:p w:rsidR="00283960" w:rsidRPr="00283960" w:rsidRDefault="00283960" w:rsidP="00283960">
                  <w:pPr>
                    <w:bidi/>
                    <w:spacing w:after="0"/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</w:pPr>
                  <w:r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الجزائري </w:t>
                  </w:r>
                  <w:r w:rsidR="005552A6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حدد</w:t>
                  </w:r>
                  <w:r w:rsidR="005552A6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في القانون رقم 04/02 وخصص لها فصلا بكامله و إشترطت المادة 10 منه على أن يكون كل بيع أو تأدية خدمات بين الأعوان </w:t>
                  </w:r>
                  <w:r w:rsidR="005552A6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الاقتصاديين</w:t>
                  </w:r>
                  <w:r w:rsidR="005552A6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مصحوبا بفاتورة ، أي أن السلعة أو الخدمة عندما تقدم يجب أن تمر في كل المراحل أو الدورة </w:t>
                  </w:r>
                  <w:r w:rsidR="005552A6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الاستهلاكية</w:t>
                  </w:r>
                  <w:r w:rsidR="005552A6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أي منذ المادة الأولية إلى غاية الإنتاج بفواتير تسلم للمستهلك في حالة طلبها بل المشرع </w:t>
                  </w:r>
                  <w:r w:rsidR="005552A6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اشترط</w:t>
                  </w:r>
                  <w:r w:rsidR="005552A6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أكثر من أن يكون البيع محل صندوق أو سند يبرر عملية البيع ويجب أن تسلم الفاتورة إذا طلبها الزبون </w:t>
                  </w:r>
                  <w:r w:rsidR="005552A6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،</w:t>
                  </w:r>
                  <w:r w:rsidR="005552A6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نظراً لما لها من أهمية قانونية لاسيما في وثائق المحاسبة للتجار وإذا كانت عمليات البيع أو تسليم الفواتير منتظمة فإنه 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تحرر بشأنها فاتورة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  <w:t xml:space="preserve">  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إجمالية كل شهر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تكون</w:t>
                  </w:r>
                </w:p>
                <w:p w:rsidR="003F457E" w:rsidRPr="00BF4BAF" w:rsidRDefault="00283960" w:rsidP="00283960">
                  <w:pPr>
                    <w:bidi/>
                    <w:rPr>
                      <w:sz w:val="20"/>
                      <w:szCs w:val="20"/>
                      <w:lang w:bidi="ar-DZ"/>
                    </w:rPr>
                  </w:pP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مراجعتها وصولات التسليم</w:t>
                  </w:r>
                  <w:r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 ،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498.95pt;margin-top:-16.7pt;width:254.25pt;height:485.8pt;z-index:251663360" strokecolor="#0070c0" strokeweight="4.5pt">
            <v:stroke linestyle="thickThin"/>
            <v:textbox>
              <w:txbxContent>
                <w:p w:rsidR="003F457E" w:rsidRPr="003F457E" w:rsidRDefault="003F457E" w:rsidP="005552A6">
                  <w:pPr>
                    <w:bidi/>
                    <w:spacing w:after="0" w:line="240" w:lineRule="auto"/>
                    <w:ind w:left="-137" w:right="-142" w:firstLine="137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FF0000"/>
                      <w:sz w:val="44"/>
                      <w:szCs w:val="44"/>
                      <w:rtl/>
                      <w:lang w:eastAsia="fr-FR"/>
                    </w:rPr>
                  </w:pPr>
                  <w:r w:rsidRPr="003F457E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FF0000"/>
                      <w:sz w:val="44"/>
                      <w:szCs w:val="44"/>
                      <w:rtl/>
                      <w:lang w:eastAsia="fr-FR"/>
                    </w:rPr>
                    <w:t>مقدمة</w:t>
                  </w:r>
                </w:p>
                <w:p w:rsidR="003F457E" w:rsidRPr="00BF4BAF" w:rsidRDefault="003F457E" w:rsidP="00283960">
                  <w:pPr>
                    <w:bidi/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</w:pPr>
                  <w:r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تعد المنافسة من متطلبات </w:t>
                  </w:r>
                  <w:r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الاقتصاد</w:t>
                  </w:r>
                  <w:r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الحر وركيزة لتفعيل الإصلاحات </w:t>
                  </w:r>
                  <w:r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الاقتصادية</w:t>
                  </w:r>
                  <w:r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التي شرعت فيها الجزائر منذ أواخر الثمانينات ،هذا ما يفسر </w:t>
                  </w:r>
                  <w:r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اهتمام</w:t>
                  </w:r>
                  <w:r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المشرع بها حيث في 25/01/1995 أول نص قانوني يكرس بصفة صريحة مبدأ المنافسة الحرة و هو الأمر رقم 95/06 وأمام النقائص التي ظهرت من خلال تطبيق هذا الأمر أصبح لازما على المشرع التدخل من أجل تعديله ، ليتماشى مع التصورات الراهنة في المجال الاقتصادي ، وهو ما تحقق حيث قسم الأمر السابق في سنة 2008 الذي نظم قواعد ومبادئ المنافسة الحرة</w:t>
                  </w:r>
                  <w:r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.  عندما نتحدث عن شفافية الممارسات التجارية فلا بد علينا أن نتحدث إشكالية </w:t>
                  </w:r>
                  <w:r w:rsidR="00283960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الفوترة في الجزائر  بحيث أن </w:t>
                  </w:r>
                  <w:r w:rsidR="00283960" w:rsidRPr="00BF4BAF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المشرع</w:t>
                  </w:r>
                  <w:r w:rsidR="00283960" w:rsidRPr="00BF4BAF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-37.25pt;margin-top:-16.7pt;width:255.9pt;height:485.8pt;z-index:251662336" strokecolor="#0070c0" strokeweight="4.5pt">
            <v:stroke linestyle="thickThin"/>
            <v:textbox>
              <w:txbxContent>
                <w:p w:rsidR="005552A6" w:rsidRDefault="005552A6" w:rsidP="005552A6">
                  <w:pPr>
                    <w:bidi/>
                    <w:spacing w:after="0"/>
                    <w:rPr>
                      <w:rFonts w:ascii="Traditional Arabic" w:eastAsia="Times New Roman" w:hAnsi="Traditional Arabic" w:cs="Traditional Arabic"/>
                      <w:sz w:val="40"/>
                      <w:szCs w:val="40"/>
                      <w:lang w:eastAsia="fr-FR"/>
                    </w:rPr>
                  </w:pPr>
                </w:p>
                <w:p w:rsidR="005552A6" w:rsidRPr="005552A6" w:rsidRDefault="005552A6" w:rsidP="005552A6">
                  <w:pPr>
                    <w:bidi/>
                    <w:rPr>
                      <w:rFonts w:ascii="Traditional Arabic" w:eastAsia="Times New Roman" w:hAnsi="Traditional Arabic" w:cs="Traditional Arabic"/>
                      <w:sz w:val="40"/>
                      <w:szCs w:val="40"/>
                      <w:rtl/>
                      <w:lang w:eastAsia="fr-FR"/>
                    </w:rPr>
                  </w:pP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وبالنسبة للبضائع التي ليست محل معاملات تجارية مصحوبة في كل حالات نقلها بسند تحويل يستنظر عند كل طلب أثناء المراقبة غير أن وصولات التسليم تكون إلاّ لأعوان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الاقتصاديين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المرخص لهم بواسطة مقرر من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الإدارة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المكلفة بالتجارة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.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 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و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لقد جاءت المادة 12 بحكم عام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،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>ول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م</w:t>
                  </w:r>
                  <w:r w:rsidRPr="00283960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eastAsia="fr-FR"/>
                    </w:rPr>
                    <w:t xml:space="preserve"> تحدد الشروط التي تحدد في الفاتورة بنصها "... تحدد عن طريق التنظيم ..." و يعني بذلك التزوير في محررات تجارية أو فاتورات</w:t>
                  </w:r>
                  <w:r w:rsidRPr="00283960">
                    <w:rPr>
                      <w:rFonts w:ascii="Traditional Arabic" w:eastAsia="Times New Roman" w:hAnsi="Traditional Arabic" w:cs="Traditional Arabic" w:hint="cs"/>
                      <w:sz w:val="36"/>
                      <w:szCs w:val="36"/>
                      <w:rtl/>
                      <w:lang w:eastAsia="fr-FR"/>
                    </w:rPr>
                    <w:t>.</w:t>
                  </w:r>
                </w:p>
                <w:p w:rsidR="005552A6" w:rsidRDefault="005552A6" w:rsidP="005552A6">
                  <w:pPr>
                    <w:bidi/>
                    <w:rPr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</w:p>
                <w:p w:rsidR="003F457E" w:rsidRPr="003F457E" w:rsidRDefault="003F457E" w:rsidP="003F457E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p w:rsidR="003F457E" w:rsidRDefault="003F457E" w:rsidP="003F457E">
      <w:pPr>
        <w:tabs>
          <w:tab w:val="left" w:pos="10279"/>
        </w:tabs>
      </w:pPr>
    </w:p>
    <w:sectPr w:rsidR="003F457E" w:rsidSect="003F457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C9" w:rsidRDefault="003778C9" w:rsidP="003F457E">
      <w:pPr>
        <w:spacing w:after="0" w:line="240" w:lineRule="auto"/>
      </w:pPr>
      <w:r>
        <w:separator/>
      </w:r>
    </w:p>
  </w:endnote>
  <w:endnote w:type="continuationSeparator" w:id="1">
    <w:p w:rsidR="003778C9" w:rsidRDefault="003778C9" w:rsidP="003F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7E" w:rsidRDefault="003F457E" w:rsidP="003F457E">
    <w:pPr>
      <w:pStyle w:val="Pieddepage"/>
      <w:tabs>
        <w:tab w:val="clear" w:pos="4536"/>
        <w:tab w:val="clear" w:pos="9072"/>
        <w:tab w:val="left" w:pos="4381"/>
      </w:tabs>
    </w:pPr>
    <w:r>
      <w:tab/>
    </w:r>
  </w:p>
  <w:p w:rsidR="003F457E" w:rsidRDefault="003F457E" w:rsidP="003F457E">
    <w:pPr>
      <w:pStyle w:val="Pieddepage"/>
      <w:tabs>
        <w:tab w:val="clear" w:pos="4536"/>
        <w:tab w:val="clear" w:pos="9072"/>
        <w:tab w:val="left" w:pos="4381"/>
      </w:tabs>
    </w:pPr>
  </w:p>
  <w:p w:rsidR="003F457E" w:rsidRDefault="003F457E" w:rsidP="003F457E">
    <w:pPr>
      <w:pStyle w:val="Pieddepage"/>
      <w:tabs>
        <w:tab w:val="clear" w:pos="4536"/>
        <w:tab w:val="clear" w:pos="9072"/>
        <w:tab w:val="left" w:pos="4381"/>
      </w:tabs>
    </w:pPr>
  </w:p>
  <w:p w:rsidR="003F457E" w:rsidRDefault="003F457E" w:rsidP="003F457E">
    <w:pPr>
      <w:pStyle w:val="Pieddepage"/>
      <w:tabs>
        <w:tab w:val="clear" w:pos="4536"/>
        <w:tab w:val="clear" w:pos="9072"/>
        <w:tab w:val="left" w:pos="4381"/>
      </w:tabs>
    </w:pPr>
  </w:p>
  <w:p w:rsidR="003F457E" w:rsidRDefault="003F457E" w:rsidP="003F457E">
    <w:pPr>
      <w:pStyle w:val="Pieddepage"/>
      <w:tabs>
        <w:tab w:val="clear" w:pos="4536"/>
        <w:tab w:val="clear" w:pos="9072"/>
        <w:tab w:val="left" w:pos="43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C9" w:rsidRDefault="003778C9" w:rsidP="003F457E">
      <w:pPr>
        <w:spacing w:after="0" w:line="240" w:lineRule="auto"/>
      </w:pPr>
      <w:r>
        <w:separator/>
      </w:r>
    </w:p>
  </w:footnote>
  <w:footnote w:type="continuationSeparator" w:id="1">
    <w:p w:rsidR="003778C9" w:rsidRDefault="003778C9" w:rsidP="003F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57E"/>
    <w:rsid w:val="00283960"/>
    <w:rsid w:val="002B77D6"/>
    <w:rsid w:val="003778C9"/>
    <w:rsid w:val="003F457E"/>
    <w:rsid w:val="005552A6"/>
    <w:rsid w:val="00813770"/>
    <w:rsid w:val="00A32C20"/>
    <w:rsid w:val="00A34CD3"/>
    <w:rsid w:val="00BF4BAF"/>
    <w:rsid w:val="00E46861"/>
    <w:rsid w:val="00E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5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F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457E"/>
  </w:style>
  <w:style w:type="paragraph" w:styleId="Pieddepage">
    <w:name w:val="footer"/>
    <w:basedOn w:val="Normal"/>
    <w:link w:val="PieddepageCar"/>
    <w:uiPriority w:val="99"/>
    <w:unhideWhenUsed/>
    <w:rsid w:val="003F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764-F925-4EF1-8CB9-9F6A932A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 informatique</dc:creator>
  <cp:lastModifiedBy>aze</cp:lastModifiedBy>
  <cp:revision>3</cp:revision>
  <cp:lastPrinted>2016-05-16T13:34:00Z</cp:lastPrinted>
  <dcterms:created xsi:type="dcterms:W3CDTF">2016-05-15T13:46:00Z</dcterms:created>
  <dcterms:modified xsi:type="dcterms:W3CDTF">2016-05-16T13:37:00Z</dcterms:modified>
</cp:coreProperties>
</file>