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993D6A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AOUT  </w:t>
      </w:r>
      <w:r w:rsidR="00E52101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2016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993D6A" w:rsidP="00F90D98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745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993D6A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71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993D6A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68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993D6A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993D6A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34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993D6A" w:rsidP="000446B6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0.2454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993D6A" w:rsidP="000446B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135925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543DF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543DF6" w:rsidRDefault="003A1C01" w:rsidP="000446B6">
            <w:pPr>
              <w:pStyle w:val="PrformatHTML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A806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BA5964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993D6A" w:rsidP="00993D6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773</w:t>
            </w:r>
          </w:p>
        </w:tc>
      </w:tr>
      <w:tr w:rsidR="00BA5964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993D6A" w:rsidP="00993D6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87</w:t>
            </w:r>
          </w:p>
        </w:tc>
      </w:tr>
      <w:tr w:rsidR="00BA5964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BA5964" w:rsidRPr="00334D8D" w:rsidRDefault="00993D6A" w:rsidP="00993D6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85</w:t>
            </w:r>
          </w:p>
        </w:tc>
      </w:tr>
      <w:tr w:rsidR="00BA5964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993D6A" w:rsidP="00993D6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08</w:t>
            </w:r>
          </w:p>
        </w:tc>
      </w:tr>
      <w:tr w:rsidR="00BA5964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BA5964" w:rsidRPr="00334D8D" w:rsidRDefault="00993D6A" w:rsidP="00993D6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993D6A" w:rsidP="00993D6A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  2000.00</w:t>
            </w:r>
          </w:p>
        </w:tc>
      </w:tr>
    </w:tbl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336CD5" w:rsidRPr="00336CD5" w:rsidTr="00F90D98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F90D98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b/>
                <w:bCs/>
                <w:color w:val="948A54" w:themeColor="background2" w:themeShade="80"/>
                <w:sz w:val="24"/>
                <w:szCs w:val="24"/>
                <w:lang w:bidi="ar-DZ"/>
              </w:rPr>
              <w:t>Pratiques commerciales</w:t>
            </w:r>
          </w:p>
        </w:tc>
      </w:tr>
      <w:tr w:rsidR="00336CD5" w:rsidRPr="006914DD" w:rsidTr="00F90D98">
        <w:trPr>
          <w:cnfStyle w:val="000000010000"/>
          <w:trHeight w:val="134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8B5E17">
            <w:pPr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</w:t>
            </w:r>
            <w:r w:rsidR="008B5E1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’information 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des prix et des tarifs</w:t>
            </w:r>
          </w:p>
        </w:tc>
      </w:tr>
      <w:tr w:rsidR="00336CD5" w:rsidRPr="006914DD" w:rsidTr="00F90D98">
        <w:trPr>
          <w:cnfStyle w:val="000000100000"/>
          <w:trHeight w:val="421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F33356" w:rsidP="008B5E17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Défaut de </w:t>
            </w:r>
            <w:r w:rsidR="008B5E1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publication légale </w:t>
            </w:r>
          </w:p>
        </w:tc>
      </w:tr>
      <w:tr w:rsidR="00336CD5" w:rsidRPr="006914DD" w:rsidTr="00F90D98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F33356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5F5FA7">
            <w:pPr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336CD5" w:rsidRPr="006914DD" w:rsidTr="00F90D98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d’innocuité des denrées alimentaires     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8B5E17" w:rsidRDefault="008B5E17" w:rsidP="005F5FA7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8B5E1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Opposition au contrôle</w:t>
            </w:r>
          </w:p>
        </w:tc>
      </w:tr>
      <w:tr w:rsidR="00336CD5" w:rsidRPr="006914DD" w:rsidTr="00F90D98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5E2CB9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8B5E17" w:rsidRDefault="008B5E17" w:rsidP="008B5E17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</w:tbl>
    <w:p w:rsidR="00336CD5" w:rsidRDefault="00336CD5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A5080D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653B" w:rsidRPr="00DB0893" w:rsidRDefault="00993D6A" w:rsidP="0016049F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03</w:t>
            </w:r>
          </w:p>
        </w:tc>
      </w:tr>
      <w:tr w:rsidR="00A5080D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93D6A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</w:tr>
      <w:tr w:rsidR="00A5080D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93D6A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272CC3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0B4CC8" w:rsidRPr="00DB0893">
              <w:rPr>
                <w:b w:val="0"/>
                <w:bCs w:val="0"/>
                <w:sz w:val="24"/>
                <w:szCs w:val="24"/>
                <w:lang w:bidi="ar-DZ"/>
              </w:rPr>
              <w:t>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93D6A" w:rsidP="004E69F5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</w:t>
            </w:r>
            <w:r w:rsidR="006817FE" w:rsidRPr="00DB0893">
              <w:rPr>
                <w:sz w:val="24"/>
                <w:szCs w:val="24"/>
                <w:lang w:bidi="ar-DZ"/>
              </w:rPr>
              <w:t xml:space="preserve"> </w:t>
            </w:r>
            <w:r w:rsidR="00E552ED" w:rsidRPr="00DB0893">
              <w:rPr>
                <w:sz w:val="24"/>
                <w:szCs w:val="24"/>
                <w:lang w:bidi="ar-DZ"/>
              </w:rPr>
              <w:t>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b w:val="0"/>
                <w:bCs w:val="0"/>
                <w:sz w:val="24"/>
                <w:szCs w:val="24"/>
                <w:lang w:bidi="ar-DZ"/>
              </w:rPr>
              <w:t>des saisis</w:t>
            </w: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93D6A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sz w:val="24"/>
                <w:szCs w:val="24"/>
                <w:lang w:bidi="ar-DZ"/>
              </w:rPr>
              <w:t>des saisis</w:t>
            </w:r>
            <w:r w:rsidRPr="00DB0893">
              <w:rPr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3E" w:rsidRDefault="00114C3E" w:rsidP="001D6568">
      <w:r>
        <w:separator/>
      </w:r>
    </w:p>
  </w:endnote>
  <w:endnote w:type="continuationSeparator" w:id="1">
    <w:p w:rsidR="00114C3E" w:rsidRDefault="00114C3E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3E" w:rsidRDefault="00114C3E" w:rsidP="001D6568">
      <w:r>
        <w:separator/>
      </w:r>
    </w:p>
  </w:footnote>
  <w:footnote w:type="continuationSeparator" w:id="1">
    <w:p w:rsidR="00114C3E" w:rsidRDefault="00114C3E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46B6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E3170"/>
    <w:rsid w:val="00105875"/>
    <w:rsid w:val="00114C3E"/>
    <w:rsid w:val="001167A3"/>
    <w:rsid w:val="00132818"/>
    <w:rsid w:val="00134525"/>
    <w:rsid w:val="001354A5"/>
    <w:rsid w:val="00140660"/>
    <w:rsid w:val="00141500"/>
    <w:rsid w:val="00150847"/>
    <w:rsid w:val="001516CB"/>
    <w:rsid w:val="0016049F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B0938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9769D"/>
    <w:rsid w:val="002A08C0"/>
    <w:rsid w:val="002A312E"/>
    <w:rsid w:val="002A653B"/>
    <w:rsid w:val="002B1E5C"/>
    <w:rsid w:val="002C085E"/>
    <w:rsid w:val="002D73BC"/>
    <w:rsid w:val="002E0F21"/>
    <w:rsid w:val="002E141D"/>
    <w:rsid w:val="002E2487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A37DD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2541"/>
    <w:rsid w:val="005D4553"/>
    <w:rsid w:val="005D7B23"/>
    <w:rsid w:val="005E2CB9"/>
    <w:rsid w:val="005E4B8E"/>
    <w:rsid w:val="005E4F53"/>
    <w:rsid w:val="005F5FA7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B155A"/>
    <w:rsid w:val="006C174D"/>
    <w:rsid w:val="006E11D8"/>
    <w:rsid w:val="006E55C0"/>
    <w:rsid w:val="006F1B25"/>
    <w:rsid w:val="006F2C46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42035"/>
    <w:rsid w:val="008519BB"/>
    <w:rsid w:val="008701B0"/>
    <w:rsid w:val="00875C11"/>
    <w:rsid w:val="008762F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21C96"/>
    <w:rsid w:val="00923AE7"/>
    <w:rsid w:val="00923EA0"/>
    <w:rsid w:val="00930CAF"/>
    <w:rsid w:val="00940976"/>
    <w:rsid w:val="009446DF"/>
    <w:rsid w:val="009601D7"/>
    <w:rsid w:val="00967F06"/>
    <w:rsid w:val="0098245D"/>
    <w:rsid w:val="009851A0"/>
    <w:rsid w:val="00993D6A"/>
    <w:rsid w:val="009A030C"/>
    <w:rsid w:val="009A573E"/>
    <w:rsid w:val="009A6A97"/>
    <w:rsid w:val="009A75B8"/>
    <w:rsid w:val="009B46AB"/>
    <w:rsid w:val="009C6D64"/>
    <w:rsid w:val="009D7D58"/>
    <w:rsid w:val="009D7FE0"/>
    <w:rsid w:val="009E3402"/>
    <w:rsid w:val="009F3D5C"/>
    <w:rsid w:val="009F6C1B"/>
    <w:rsid w:val="00A1369C"/>
    <w:rsid w:val="00A1724E"/>
    <w:rsid w:val="00A2329F"/>
    <w:rsid w:val="00A26BF2"/>
    <w:rsid w:val="00A3259E"/>
    <w:rsid w:val="00A330C5"/>
    <w:rsid w:val="00A5080D"/>
    <w:rsid w:val="00A56110"/>
    <w:rsid w:val="00A60B4C"/>
    <w:rsid w:val="00A60DA6"/>
    <w:rsid w:val="00A61C28"/>
    <w:rsid w:val="00A65B2A"/>
    <w:rsid w:val="00A65E64"/>
    <w:rsid w:val="00A76CC3"/>
    <w:rsid w:val="00A80601"/>
    <w:rsid w:val="00A86B8F"/>
    <w:rsid w:val="00AA2408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A35F0"/>
    <w:rsid w:val="00BA5964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75D6B"/>
    <w:rsid w:val="00E82E89"/>
    <w:rsid w:val="00EA3A2A"/>
    <w:rsid w:val="00EA53B1"/>
    <w:rsid w:val="00EC1B51"/>
    <w:rsid w:val="00EC2AAD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4D0E"/>
    <w:rsid w:val="00F60CC1"/>
    <w:rsid w:val="00F756AE"/>
    <w:rsid w:val="00F848A3"/>
    <w:rsid w:val="00F87B4D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dcw-qualité</cp:lastModifiedBy>
  <cp:revision>509</cp:revision>
  <cp:lastPrinted>2015-03-02T09:24:00Z</cp:lastPrinted>
  <dcterms:created xsi:type="dcterms:W3CDTF">2013-02-26T10:00:00Z</dcterms:created>
  <dcterms:modified xsi:type="dcterms:W3CDTF">2016-09-01T08:04:00Z</dcterms:modified>
</cp:coreProperties>
</file>