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</w:t>
      </w:r>
    </w:p>
    <w:p w:rsidR="005E4B8E" w:rsidRPr="008762F3" w:rsidRDefault="00F2299C" w:rsidP="007D6E5F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LE MOIS</w:t>
      </w:r>
      <w:r w:rsidR="00150B18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DE</w:t>
      </w:r>
      <w:bookmarkStart w:id="0" w:name="_GoBack"/>
      <w:bookmarkEnd w:id="0"/>
      <w:r w:rsidR="005D147B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="007D6E5F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MAI</w:t>
      </w:r>
      <w:r w:rsidR="002B102A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2017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9212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5059"/>
      </w:tblGrid>
      <w:tr w:rsidR="00516B55" w:rsidRPr="00F2299C" w:rsidTr="00516B55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334D8D" w:rsidRDefault="00516B55" w:rsidP="00FF7474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811</w:t>
            </w:r>
          </w:p>
        </w:tc>
      </w:tr>
      <w:tr w:rsidR="00516B55" w:rsidRPr="00F2299C" w:rsidTr="00516B55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334D8D" w:rsidRDefault="00516B55" w:rsidP="00FF7474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62</w:t>
            </w:r>
          </w:p>
        </w:tc>
      </w:tr>
      <w:tr w:rsidR="00516B55" w:rsidRPr="00F2299C" w:rsidTr="00516B55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516B55" w:rsidRPr="00334D8D" w:rsidRDefault="00516B55" w:rsidP="00FF7474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65</w:t>
            </w:r>
          </w:p>
        </w:tc>
      </w:tr>
      <w:tr w:rsidR="00516B55" w:rsidRPr="00F2299C" w:rsidTr="00516B55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334D8D" w:rsidRDefault="00516B55" w:rsidP="00FF7474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516B55" w:rsidRPr="00F2299C" w:rsidTr="00516B55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516B55" w:rsidRPr="00334D8D" w:rsidRDefault="00516B55" w:rsidP="00FF7474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516B55" w:rsidRPr="00F2299C" w:rsidTr="00516B55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811B3C" w:rsidRDefault="00516B55" w:rsidP="00FF7474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0,1248 </w:t>
            </w:r>
          </w:p>
        </w:tc>
      </w:tr>
      <w:tr w:rsidR="00516B55" w:rsidRPr="00F2299C" w:rsidTr="00516B55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516B55" w:rsidRPr="00811B3C" w:rsidRDefault="00516B55" w:rsidP="00FF7474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87400</w:t>
            </w:r>
          </w:p>
        </w:tc>
      </w:tr>
      <w:tr w:rsidR="00516B55" w:rsidRPr="00F2299C" w:rsidTr="00516B55">
        <w:trPr>
          <w:cnfStyle w:val="000000100000"/>
          <w:trHeight w:val="77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6B55" w:rsidRPr="001517AA" w:rsidRDefault="00516B55" w:rsidP="00FF7474">
            <w:pPr>
              <w:pStyle w:val="PrformatHTML"/>
              <w:shd w:val="clear" w:color="auto" w:fill="FFFFFF"/>
              <w:jc w:val="center"/>
              <w:cnfStyle w:val="000000100000"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E85E48">
              <w:rPr>
                <w:rFonts w:asciiTheme="majorBidi" w:hAnsiTheme="majorBidi" w:cstheme="majorBidi"/>
                <w:color w:val="212121"/>
                <w:sz w:val="24"/>
                <w:szCs w:val="24"/>
              </w:rPr>
              <w:t xml:space="preserve">yaourt – poulet – viande haché - </w:t>
            </w:r>
            <w:r>
              <w:rPr>
                <w:rFonts w:asciiTheme="majorBidi" w:hAnsiTheme="majorBidi" w:cstheme="majorBidi"/>
                <w:color w:val="212121"/>
                <w:sz w:val="24"/>
                <w:szCs w:val="24"/>
              </w:rPr>
              <w:t>epice</w:t>
            </w:r>
          </w:p>
          <w:p w:rsidR="00516B55" w:rsidRPr="00BB478B" w:rsidRDefault="00516B55" w:rsidP="00FF7474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7D6E5F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845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D147B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84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7D6E5F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83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7D6E5F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03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7D6E5F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11.416.000.00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7D6E5F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8</w:t>
            </w:r>
            <w:r w:rsidR="005D147B">
              <w:rPr>
                <w:rFonts w:asciiTheme="majorBidi" w:hAnsiTheme="majorBidi" w:cstheme="majorBidi" w:hint="cs"/>
                <w:rtl/>
                <w:lang w:bidi="ar-DZ"/>
              </w:rPr>
              <w:t>000.00</w:t>
            </w:r>
          </w:p>
        </w:tc>
      </w:tr>
    </w:tbl>
    <w:p w:rsidR="005E4B8E" w:rsidRPr="006914DD" w:rsidRDefault="005E4B8E" w:rsidP="005E4B8E">
      <w:pPr>
        <w:rPr>
          <w:rFonts w:asciiTheme="majorBidi" w:hAnsiTheme="majorBidi" w:cstheme="majorBidi"/>
          <w:lang w:bidi="ar-DZ"/>
        </w:rPr>
      </w:pPr>
    </w:p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59"/>
        <w:gridCol w:w="4980"/>
      </w:tblGrid>
      <w:tr w:rsidR="001D6568" w:rsidRPr="006914DD" w:rsidTr="002007E9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6914DD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2007E9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0F70FA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color w:val="943634" w:themeColor="accent2" w:themeShade="BF"/>
                <w:sz w:val="28"/>
                <w:szCs w:val="28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D5772E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D5772E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Pratiques commerciales</w:t>
            </w:r>
          </w:p>
        </w:tc>
      </w:tr>
      <w:tr w:rsidR="00516B55" w:rsidRPr="006914DD" w:rsidTr="006A18F9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CF36CE" w:rsidRDefault="00516B55" w:rsidP="00FF747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E42448" w:rsidRDefault="00516B55" w:rsidP="009E0B8A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516B55" w:rsidRPr="006914DD" w:rsidTr="006A18F9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CF36CE" w:rsidRDefault="00516B55" w:rsidP="00FF747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E42448" w:rsidRDefault="00516B55" w:rsidP="009E0B8A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516B55" w:rsidRPr="006914DD" w:rsidTr="006A18F9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CF36CE" w:rsidRDefault="00516B55" w:rsidP="00FF747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E42448" w:rsidRDefault="00516B55" w:rsidP="009E0B8A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publicité légale</w:t>
            </w:r>
          </w:p>
        </w:tc>
      </w:tr>
      <w:tr w:rsidR="00516B55" w:rsidRPr="006914DD" w:rsidTr="006A18F9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CF36CE" w:rsidRDefault="00516B55" w:rsidP="00FF747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9F3D5C" w:rsidRDefault="00516B55" w:rsidP="00EC1905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516B55" w:rsidRPr="006914DD" w:rsidTr="006A18F9">
        <w:trPr>
          <w:cnfStyle w:val="00000001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CF36CE" w:rsidRDefault="00516B55" w:rsidP="00FF747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9F3D5C" w:rsidRDefault="00516B55" w:rsidP="009E0B8A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Non respect des prix réglementés</w:t>
            </w:r>
          </w:p>
        </w:tc>
      </w:tr>
      <w:tr w:rsidR="00516B55" w:rsidRPr="006914DD" w:rsidTr="006A18F9">
        <w:trPr>
          <w:cnfStyle w:val="000000100000"/>
          <w:trHeight w:val="277"/>
          <w:jc w:val="center"/>
        </w:trPr>
        <w:tc>
          <w:tcPr>
            <w:cnfStyle w:val="001000000000"/>
            <w:tcW w:w="6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CF36CE" w:rsidRDefault="00516B55" w:rsidP="00FF7474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</w:p>
        </w:tc>
        <w:tc>
          <w:tcPr>
            <w:tcW w:w="4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F2299C" w:rsidRDefault="00516B55" w:rsidP="009E0B8A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local</w:t>
            </w:r>
          </w:p>
        </w:tc>
      </w:tr>
      <w:tr w:rsidR="00516B55" w:rsidRPr="006914DD" w:rsidTr="002007E9">
        <w:trPr>
          <w:cnfStyle w:val="000000010000"/>
          <w:trHeight w:val="130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516B55" w:rsidRPr="00641A37" w:rsidRDefault="00516B55" w:rsidP="00430C06">
            <w:pPr>
              <w:jc w:val="center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:rsidR="00516B55" w:rsidRPr="009E0B8A" w:rsidRDefault="00516B55" w:rsidP="00C60E79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Activité étrangère au registre de commerce</w:t>
            </w: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9A573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516B55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rtl/>
                <w:lang w:bidi="ar-DZ"/>
              </w:rPr>
            </w:pPr>
            <w:r w:rsidRPr="00516B55">
              <w:rPr>
                <w:rFonts w:asciiTheme="majorBidi" w:hAnsiTheme="majorBidi" w:cstheme="majorBidi" w:hint="cs"/>
                <w:rtl/>
                <w:lang w:bidi="ar-DZ"/>
              </w:rPr>
              <w:t>00</w:t>
            </w:r>
          </w:p>
        </w:tc>
      </w:tr>
      <w:tr w:rsidR="00516B55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/>
              </w:rPr>
              <w:t>00</w:t>
            </w:r>
          </w:p>
        </w:tc>
      </w:tr>
      <w:tr w:rsidR="00516B55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/>
              </w:rPr>
              <w:t>00</w:t>
            </w:r>
          </w:p>
        </w:tc>
      </w:tr>
      <w:tr w:rsidR="00516B55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516B55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272CC3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 w:hint="cs"/>
                <w:rtl/>
              </w:rPr>
              <w:t>00</w:t>
            </w:r>
          </w:p>
        </w:tc>
      </w:tr>
      <w:tr w:rsidR="00516B55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516B55">
              <w:rPr>
                <w:rFonts w:asciiTheme="majorBidi" w:hAnsiTheme="majorBidi" w:cstheme="majorBidi" w:hint="cs"/>
                <w:rtl/>
                <w:lang w:bidi="ar-DZ"/>
              </w:rPr>
              <w:t>54,10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Quantités de produits saisis(Kg)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/>
              </w:rPr>
              <w:t>00</w:t>
            </w:r>
          </w:p>
        </w:tc>
      </w:tr>
      <w:tr w:rsidR="00516B55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 w:hint="cs"/>
                <w:rtl/>
              </w:rPr>
              <w:t>51190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DB0893" w:rsidRDefault="00516B55" w:rsidP="00BB5D1B">
            <w:pPr>
              <w:jc w:val="center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16B55" w:rsidRPr="00516B55" w:rsidRDefault="00516B55" w:rsidP="00FF747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516B55">
              <w:rPr>
                <w:rFonts w:asciiTheme="majorBidi" w:hAnsiTheme="majorBidi" w:cstheme="majorBidi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EB" w:rsidRDefault="00C968EB" w:rsidP="001D6568">
      <w:r>
        <w:separator/>
      </w:r>
    </w:p>
  </w:endnote>
  <w:endnote w:type="continuationSeparator" w:id="1">
    <w:p w:rsidR="00C968EB" w:rsidRDefault="00C968EB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EB" w:rsidRDefault="00C968EB" w:rsidP="001D6568">
      <w:r>
        <w:separator/>
      </w:r>
    </w:p>
  </w:footnote>
  <w:footnote w:type="continuationSeparator" w:id="1">
    <w:p w:rsidR="00C968EB" w:rsidRDefault="00C968EB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2913"/>
    <w:rsid w:val="000A4A2C"/>
    <w:rsid w:val="000A5298"/>
    <w:rsid w:val="000B4CC8"/>
    <w:rsid w:val="000B66D7"/>
    <w:rsid w:val="000C15C6"/>
    <w:rsid w:val="000D609C"/>
    <w:rsid w:val="000F70FA"/>
    <w:rsid w:val="00105875"/>
    <w:rsid w:val="001167A3"/>
    <w:rsid w:val="00132818"/>
    <w:rsid w:val="00134525"/>
    <w:rsid w:val="001354A5"/>
    <w:rsid w:val="00140660"/>
    <w:rsid w:val="00141500"/>
    <w:rsid w:val="00150847"/>
    <w:rsid w:val="00150B18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31DA"/>
    <w:rsid w:val="002D5809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C1189"/>
    <w:rsid w:val="003D0FF4"/>
    <w:rsid w:val="003E4FA2"/>
    <w:rsid w:val="003F4AC1"/>
    <w:rsid w:val="00400080"/>
    <w:rsid w:val="004012DF"/>
    <w:rsid w:val="00417520"/>
    <w:rsid w:val="0042291A"/>
    <w:rsid w:val="00425973"/>
    <w:rsid w:val="00430487"/>
    <w:rsid w:val="004519B2"/>
    <w:rsid w:val="00454887"/>
    <w:rsid w:val="00454EDC"/>
    <w:rsid w:val="00457A98"/>
    <w:rsid w:val="00457B52"/>
    <w:rsid w:val="00461126"/>
    <w:rsid w:val="00484CF7"/>
    <w:rsid w:val="0048564E"/>
    <w:rsid w:val="004D588B"/>
    <w:rsid w:val="004E2972"/>
    <w:rsid w:val="004E3048"/>
    <w:rsid w:val="004E6307"/>
    <w:rsid w:val="004E69F5"/>
    <w:rsid w:val="004F3D90"/>
    <w:rsid w:val="005129EC"/>
    <w:rsid w:val="00514070"/>
    <w:rsid w:val="00516B55"/>
    <w:rsid w:val="00524167"/>
    <w:rsid w:val="00524E54"/>
    <w:rsid w:val="005255AF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147B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2D94"/>
    <w:rsid w:val="00653152"/>
    <w:rsid w:val="00654CB6"/>
    <w:rsid w:val="006555EF"/>
    <w:rsid w:val="00680319"/>
    <w:rsid w:val="006817FE"/>
    <w:rsid w:val="006914DD"/>
    <w:rsid w:val="006A18F9"/>
    <w:rsid w:val="006A1ED6"/>
    <w:rsid w:val="006B155A"/>
    <w:rsid w:val="006C174D"/>
    <w:rsid w:val="006C2842"/>
    <w:rsid w:val="006C6F31"/>
    <w:rsid w:val="006E11D8"/>
    <w:rsid w:val="006E55C0"/>
    <w:rsid w:val="006F1B25"/>
    <w:rsid w:val="006F2C46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9371C"/>
    <w:rsid w:val="007A0841"/>
    <w:rsid w:val="007B3A98"/>
    <w:rsid w:val="007B3BEA"/>
    <w:rsid w:val="007D0681"/>
    <w:rsid w:val="007D6E5F"/>
    <w:rsid w:val="007E6B8B"/>
    <w:rsid w:val="007E7959"/>
    <w:rsid w:val="007F12B1"/>
    <w:rsid w:val="0081589F"/>
    <w:rsid w:val="00820161"/>
    <w:rsid w:val="00824B47"/>
    <w:rsid w:val="00826B78"/>
    <w:rsid w:val="008519BB"/>
    <w:rsid w:val="008701B0"/>
    <w:rsid w:val="00875C11"/>
    <w:rsid w:val="008762F3"/>
    <w:rsid w:val="00885009"/>
    <w:rsid w:val="00895FE6"/>
    <w:rsid w:val="008A2F6C"/>
    <w:rsid w:val="008A3A6C"/>
    <w:rsid w:val="008B6D9D"/>
    <w:rsid w:val="008C7957"/>
    <w:rsid w:val="008D751D"/>
    <w:rsid w:val="008E29F7"/>
    <w:rsid w:val="008E7B8D"/>
    <w:rsid w:val="008F11DC"/>
    <w:rsid w:val="00902A77"/>
    <w:rsid w:val="00921C96"/>
    <w:rsid w:val="00923EA0"/>
    <w:rsid w:val="00930CAF"/>
    <w:rsid w:val="00940976"/>
    <w:rsid w:val="0094466F"/>
    <w:rsid w:val="009446DF"/>
    <w:rsid w:val="009601D7"/>
    <w:rsid w:val="00967F06"/>
    <w:rsid w:val="00970DA7"/>
    <w:rsid w:val="0098245D"/>
    <w:rsid w:val="009851A0"/>
    <w:rsid w:val="009A173A"/>
    <w:rsid w:val="009A573E"/>
    <w:rsid w:val="009A6A97"/>
    <w:rsid w:val="009A75B8"/>
    <w:rsid w:val="009C6D64"/>
    <w:rsid w:val="009D7D58"/>
    <w:rsid w:val="009D7FE0"/>
    <w:rsid w:val="009E0B8A"/>
    <w:rsid w:val="009F3D5C"/>
    <w:rsid w:val="009F6C1B"/>
    <w:rsid w:val="00A1369C"/>
    <w:rsid w:val="00A1724E"/>
    <w:rsid w:val="00A26BF2"/>
    <w:rsid w:val="00A3259E"/>
    <w:rsid w:val="00A330C5"/>
    <w:rsid w:val="00A5080D"/>
    <w:rsid w:val="00A559F6"/>
    <w:rsid w:val="00A56110"/>
    <w:rsid w:val="00A5720C"/>
    <w:rsid w:val="00A60B4C"/>
    <w:rsid w:val="00A60DA6"/>
    <w:rsid w:val="00A61C28"/>
    <w:rsid w:val="00A65E64"/>
    <w:rsid w:val="00A74AF3"/>
    <w:rsid w:val="00A76CC3"/>
    <w:rsid w:val="00A80601"/>
    <w:rsid w:val="00A94163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B2895"/>
    <w:rsid w:val="00BD0BF1"/>
    <w:rsid w:val="00BD25B4"/>
    <w:rsid w:val="00BD37B6"/>
    <w:rsid w:val="00BE30D6"/>
    <w:rsid w:val="00BF3F89"/>
    <w:rsid w:val="00C02132"/>
    <w:rsid w:val="00C03702"/>
    <w:rsid w:val="00C215A7"/>
    <w:rsid w:val="00C30009"/>
    <w:rsid w:val="00C3376E"/>
    <w:rsid w:val="00C44E30"/>
    <w:rsid w:val="00C53F41"/>
    <w:rsid w:val="00C60E79"/>
    <w:rsid w:val="00C66114"/>
    <w:rsid w:val="00C77FFB"/>
    <w:rsid w:val="00C93508"/>
    <w:rsid w:val="00C968EB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473B"/>
    <w:rsid w:val="00E552ED"/>
    <w:rsid w:val="00E5748D"/>
    <w:rsid w:val="00E72A63"/>
    <w:rsid w:val="00E75D6B"/>
    <w:rsid w:val="00E82E89"/>
    <w:rsid w:val="00EA3A2A"/>
    <w:rsid w:val="00EA53B1"/>
    <w:rsid w:val="00EB0FEC"/>
    <w:rsid w:val="00EC1905"/>
    <w:rsid w:val="00EC1B51"/>
    <w:rsid w:val="00EC31A0"/>
    <w:rsid w:val="00ED28D4"/>
    <w:rsid w:val="00EE2E46"/>
    <w:rsid w:val="00EE78E3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639B3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7FDA-F058-43B9-9E6E-910C61B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aze</cp:lastModifiedBy>
  <cp:revision>7</cp:revision>
  <cp:lastPrinted>2015-03-02T09:24:00Z</cp:lastPrinted>
  <dcterms:created xsi:type="dcterms:W3CDTF">2017-03-07T10:36:00Z</dcterms:created>
  <dcterms:modified xsi:type="dcterms:W3CDTF">2017-06-08T08:30:00Z</dcterms:modified>
</cp:coreProperties>
</file>